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EB6" w:rsidRPr="00F876DB" w:rsidRDefault="00810EB6" w:rsidP="00810E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№4</w:t>
      </w:r>
      <w:r w:rsidRPr="00F876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0EB6" w:rsidRPr="00F876DB" w:rsidRDefault="00810EB6" w:rsidP="00810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 здоровья на индивидуальном уровне</w:t>
      </w:r>
    </w:p>
    <w:p w:rsidR="00810EB6" w:rsidRPr="00F876DB" w:rsidRDefault="00810EB6" w:rsidP="00810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B6" w:rsidRPr="00212676" w:rsidRDefault="00810EB6" w:rsidP="00810EB6">
      <w:pPr>
        <w:jc w:val="center"/>
        <w:rPr>
          <w:sz w:val="28"/>
          <w:szCs w:val="28"/>
        </w:rPr>
      </w:pPr>
      <w:r w:rsidRPr="00F876DB"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="00D62158">
        <w:rPr>
          <w:rFonts w:ascii="Times New Roman" w:hAnsi="Times New Roman" w:cs="Times New Roman"/>
          <w:b/>
          <w:sz w:val="28"/>
          <w:szCs w:val="28"/>
        </w:rPr>
        <w:t>определить основные диагностические методы здоровья</w:t>
      </w:r>
      <w:bookmarkStart w:id="0" w:name="_GoBack"/>
      <w:bookmarkEnd w:id="0"/>
    </w:p>
    <w:p w:rsidR="00460DD1" w:rsidRDefault="00147134" w:rsidP="00147134">
      <w:pPr>
        <w:tabs>
          <w:tab w:val="left" w:pos="6315"/>
        </w:tabs>
      </w:pPr>
      <w:r>
        <w:tab/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 xml:space="preserve">Выделяют три типа диагностических моделей индивидуального здоровья: нозологическая диагностика,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донозологическая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диагностика и диагностика здоровья по прямым показателям.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 xml:space="preserve">Нозологическая диагностика ставит своей задачей установление характера заболевания в соответствии с Международной классификацией болезней.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Донозологическая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диагностика представляет собой определение стадии адаптационного процесса на пути от здоровья к боле</w:t>
      </w:r>
      <w:r>
        <w:rPr>
          <w:rFonts w:ascii="Times New Roman" w:hAnsi="Times New Roman" w:cs="Times New Roman"/>
          <w:sz w:val="28"/>
          <w:szCs w:val="28"/>
        </w:rPr>
        <w:t>зни</w:t>
      </w:r>
      <w:r w:rsidRPr="00147134">
        <w:rPr>
          <w:rFonts w:ascii="Times New Roman" w:hAnsi="Times New Roman" w:cs="Times New Roman"/>
          <w:sz w:val="28"/>
          <w:szCs w:val="28"/>
        </w:rPr>
        <w:t xml:space="preserve">. На наш взгляд, данный подход далёк от истинного отражения положения индивида в системе координат «здоровье-болезнь». В самом деле, выделяемые состояния адаптационного потенциала, хотя в определенной степени и характеризуют здоровье, все же это скорее результат взаимодействия организма с окружающей средой. Можно представить себе индивида с высоким уровнем здоровья, но попавшего в экстремальную производственную либо бытовую ситуацию, приведшую к перенапряжению адаптации, несмотря на значительные резервы функций. При выходе из критической ситуации (нередко – в тот же день) функции восстанавливаются. С другой стороны, у больного, находящегося в стадии ремиссии хронического соматического заболевания (к примеру - хронической пневмонией), будет определяться стадия удовлетворительной адаптации, хотя уровень здоровья </w:t>
      </w:r>
      <w:r>
        <w:rPr>
          <w:rFonts w:ascii="Times New Roman" w:hAnsi="Times New Roman" w:cs="Times New Roman"/>
          <w:sz w:val="28"/>
          <w:szCs w:val="28"/>
        </w:rPr>
        <w:t>у него будет достаточно низким.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Следовательно, необходима единая шкала здоровья, на которой были бы представлены все уровни здоровья с формированием патологи</w:t>
      </w:r>
      <w:r>
        <w:rPr>
          <w:rFonts w:ascii="Times New Roman" w:hAnsi="Times New Roman" w:cs="Times New Roman"/>
          <w:sz w:val="28"/>
          <w:szCs w:val="28"/>
        </w:rPr>
        <w:t>и при его критическом снижении.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Совершенно очевидно, что в качестве показателей, количественно характеризующих уровень индивидуального здоровья, могут использоваться только те, которые связаны с его сущностными характеристиками. К ним относятся показатели, в той или иной степени отражающие деятельность механизмов самоорганизации живой системы - адаптации, гомеостаза, реактивности и т. д. В качестве показателей уровня здоровья предпочтительнее использовать характеристики проявлений здоровья, так как они отражают результат деятельности всей сложнейшей функциональной системы Человек. Чем эффективнее выполнение биологических и социальных функ</w:t>
      </w:r>
      <w:r>
        <w:rPr>
          <w:rFonts w:ascii="Times New Roman" w:hAnsi="Times New Roman" w:cs="Times New Roman"/>
          <w:sz w:val="28"/>
          <w:szCs w:val="28"/>
        </w:rPr>
        <w:t>ций, тем уровень здоровья выше.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К настоящему времени наиболее распространены две модели диагностики уровня здоровья по прямым показателям. Первая из них - определение биологического возраста. Для его определения используются "батареи " тестов различной степени сложности, они подроб</w:t>
      </w:r>
      <w:r>
        <w:rPr>
          <w:rFonts w:ascii="Times New Roman" w:hAnsi="Times New Roman" w:cs="Times New Roman"/>
          <w:sz w:val="28"/>
          <w:szCs w:val="28"/>
        </w:rPr>
        <w:t>но описаны в литературе</w:t>
      </w:r>
      <w:r w:rsidRPr="00147134">
        <w:rPr>
          <w:rFonts w:ascii="Times New Roman" w:hAnsi="Times New Roman" w:cs="Times New Roman"/>
          <w:sz w:val="28"/>
          <w:szCs w:val="28"/>
        </w:rPr>
        <w:t xml:space="preserve">. Вторая - оценка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энергопотенциала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(резервов биоэнергет</w:t>
      </w:r>
      <w:r>
        <w:rPr>
          <w:rFonts w:ascii="Times New Roman" w:hAnsi="Times New Roman" w:cs="Times New Roman"/>
          <w:sz w:val="28"/>
          <w:szCs w:val="28"/>
        </w:rPr>
        <w:t>ики) на организменном уровне</w:t>
      </w:r>
      <w:r w:rsidRPr="00147134">
        <w:rPr>
          <w:rFonts w:ascii="Times New Roman" w:hAnsi="Times New Roman" w:cs="Times New Roman"/>
          <w:sz w:val="28"/>
          <w:szCs w:val="28"/>
        </w:rPr>
        <w:t>. Обе они характеризуют биологическую функцию выживания – одно из основных проявлений здоровья.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Теоретические основы диагностики индивидуального здоровья по резервам биоэнергетики. В мире ничего не происходит без затрат энергии. Это касается и живой материи. Чем мощнее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энергопотенциал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биосистемы, тем она устойчивее. Основой энергетики человеческого организма являются анаэробные и аэробные механизмы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энергобразования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>. Они могут быть охарактеризованы количественно по мощности, эффективности (экономичности) и ёмкости. Превосходя аэробные механизмы по мощности, анаэробные механизмы существенно уступают им по экономичности и ёмкости. Поэтому в основе предлагаемого метода оценки уровня соматического здоровья лежит информация об аэробных механизмах. Отметим, что эволюция механизмов энергообеспечения живых систем проходила именн</w:t>
      </w:r>
      <w:r>
        <w:rPr>
          <w:rFonts w:ascii="Times New Roman" w:hAnsi="Times New Roman" w:cs="Times New Roman"/>
          <w:sz w:val="28"/>
          <w:szCs w:val="28"/>
        </w:rPr>
        <w:t>о по пути их совершенствования.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В основе энергообеспечения клетки лежит функция митохондрий. Митохондрии — блестящее изобретение природы. Увеличивая их количество, можно наращивать энергетические возможности клетки без роста её внешней поверхности. При этом каждая митохондрия обладает ещё и встроенными меха</w:t>
      </w:r>
      <w:r>
        <w:rPr>
          <w:rFonts w:ascii="Times New Roman" w:hAnsi="Times New Roman" w:cs="Times New Roman"/>
          <w:sz w:val="28"/>
          <w:szCs w:val="28"/>
        </w:rPr>
        <w:t>низмами «контроля» и «ремонта».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Переход клеток к выработке энергии с помощью митохондрий можно сравнить с промышленной революцией. Вместо того чтобы линейно наращивать размер мануфактуры, клетки пошли на качественное изменение: они построили "завод" и поставили в него ряд</w:t>
      </w:r>
      <w:r>
        <w:rPr>
          <w:rFonts w:ascii="Times New Roman" w:hAnsi="Times New Roman" w:cs="Times New Roman"/>
          <w:sz w:val="28"/>
          <w:szCs w:val="28"/>
        </w:rPr>
        <w:t>ы специализированных "станков".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Потому, несмотря на миллиарды лет существования, прокариоты, не имеющие митохондрий, и поныне остались относительно простыми существами, а эукариоты «изобрели» новые средства передачи сигналов между клетками и шагнули в сторону многоклеточных форм жизни. Некоторые исследователи утверждают, что рост энергообеспечения кл</w:t>
      </w:r>
      <w:r>
        <w:rPr>
          <w:rFonts w:ascii="Times New Roman" w:hAnsi="Times New Roman" w:cs="Times New Roman"/>
          <w:sz w:val="28"/>
          <w:szCs w:val="28"/>
        </w:rPr>
        <w:t>етки – не только показатель</w:t>
      </w:r>
      <w:r w:rsidRPr="00147134">
        <w:rPr>
          <w:rFonts w:ascii="Times New Roman" w:hAnsi="Times New Roman" w:cs="Times New Roman"/>
          <w:sz w:val="28"/>
          <w:szCs w:val="28"/>
        </w:rPr>
        <w:t>, но и один из стимул</w:t>
      </w:r>
      <w:r>
        <w:rPr>
          <w:rFonts w:ascii="Times New Roman" w:hAnsi="Times New Roman" w:cs="Times New Roman"/>
          <w:sz w:val="28"/>
          <w:szCs w:val="28"/>
        </w:rPr>
        <w:t>ов эволюции живого на Земле.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 xml:space="preserve">Многочисленными исследованиями установлена взаимосвязь между мощностью аэробных механизмов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энергообразования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, их экономичностью и ёмкостью. Таким образом, решение проблемы сужается до оценки мощности аэробного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энергообразования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>. Научная литература заполнена доказательствами того, что устойчивость организма к самым различным негативным воздействиям – от гипоксии и кровопотери до радиации – определяется резервам</w:t>
      </w:r>
      <w:r>
        <w:rPr>
          <w:rFonts w:ascii="Times New Roman" w:hAnsi="Times New Roman" w:cs="Times New Roman"/>
          <w:sz w:val="28"/>
          <w:szCs w:val="28"/>
        </w:rPr>
        <w:t>и аэробной способности</w:t>
      </w:r>
      <w:r w:rsidRPr="00147134">
        <w:rPr>
          <w:rFonts w:ascii="Times New Roman" w:hAnsi="Times New Roman" w:cs="Times New Roman"/>
          <w:sz w:val="28"/>
          <w:szCs w:val="28"/>
        </w:rPr>
        <w:t>. Именно это обстоятельство позволило нам идентифицировать этот показатель с уровнем жизнеспособности, иными сл</w:t>
      </w:r>
      <w:r>
        <w:rPr>
          <w:rFonts w:ascii="Times New Roman" w:hAnsi="Times New Roman" w:cs="Times New Roman"/>
          <w:sz w:val="28"/>
          <w:szCs w:val="28"/>
        </w:rPr>
        <w:t>овами - соматического здоровья.</w:t>
      </w:r>
    </w:p>
    <w:p w:rsidR="00147134" w:rsidRDefault="00147134" w:rsidP="00147134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 xml:space="preserve">Методические подходы. Проблема диагностики (измерения «количества») здоровья может быть решена путём определения мощности аэробного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энергообразования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- максимального потребления кислорода (МПК). Этот показатель интегрально характеризует резервы систем внешнего дыхания, кровообращения, тканевых ферментов и др. Однако особенности методики (нагрузочная проба до отказа, аппаратное обеспечение, трудоёмкость, готовность к оказанию ургентной помощи и т.п.) не позволяют рекомендо</w:t>
      </w:r>
      <w:r>
        <w:rPr>
          <w:rFonts w:ascii="Times New Roman" w:hAnsi="Times New Roman" w:cs="Times New Roman"/>
          <w:sz w:val="28"/>
          <w:szCs w:val="28"/>
        </w:rPr>
        <w:t xml:space="preserve">вать её для широкого применения. </w:t>
      </w:r>
      <w:r w:rsidRPr="00147134">
        <w:rPr>
          <w:rFonts w:ascii="Times New Roman" w:hAnsi="Times New Roman" w:cs="Times New Roman"/>
          <w:sz w:val="28"/>
          <w:szCs w:val="28"/>
        </w:rPr>
        <w:t xml:space="preserve">В проведенном нами </w:t>
      </w:r>
      <w:r w:rsidRPr="00147134">
        <w:rPr>
          <w:rFonts w:ascii="Times New Roman" w:hAnsi="Times New Roman" w:cs="Times New Roman"/>
          <w:sz w:val="28"/>
          <w:szCs w:val="28"/>
        </w:rPr>
        <w:lastRenderedPageBreak/>
        <w:t>исследовании</w:t>
      </w:r>
      <w:r>
        <w:rPr>
          <w:rFonts w:ascii="Times New Roman" w:hAnsi="Times New Roman" w:cs="Times New Roman"/>
          <w:sz w:val="28"/>
          <w:szCs w:val="28"/>
        </w:rPr>
        <w:t xml:space="preserve"> на здоровых и больных людях</w:t>
      </w:r>
      <w:r w:rsidRPr="00147134">
        <w:rPr>
          <w:rFonts w:ascii="Times New Roman" w:hAnsi="Times New Roman" w:cs="Times New Roman"/>
          <w:sz w:val="28"/>
          <w:szCs w:val="28"/>
        </w:rPr>
        <w:t xml:space="preserve"> отобраны простейшие показатели, имеющие достоверные связи с конечным результатом пробы. Сюда вошли: рост, масса тела, жизненная ёмкость лёгких, динамометрия сильнейшей кисти, частота пульса и уровень АД в покое, время восстановления частоты пульса до исходного уровня после 20 приседаний за 30 сек. На основе этих показателей сформированы индексы, они ранжированы, каждому рангу присвоено о</w:t>
      </w:r>
      <w:r>
        <w:rPr>
          <w:rFonts w:ascii="Times New Roman" w:hAnsi="Times New Roman" w:cs="Times New Roman"/>
          <w:sz w:val="28"/>
          <w:szCs w:val="28"/>
        </w:rPr>
        <w:t>пределённое количество баллов (</w:t>
      </w:r>
      <w:r w:rsidRPr="00147134">
        <w:rPr>
          <w:rFonts w:ascii="Times New Roman" w:hAnsi="Times New Roman" w:cs="Times New Roman"/>
          <w:sz w:val="28"/>
          <w:szCs w:val="28"/>
        </w:rPr>
        <w:t>с учётом связи с конечным результатом), а суммой баллов определяется уровень здоровья. Выделяется 5 уровней здоровь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Коэфициент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корреляции между суммой баллов и МПК/кг массы тела равен 0,806. Несмотря на простоту используемых показателей, они отражают две глобальные физиологические закономерности, сопровождающие рост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энергопотенциала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организма: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экономизацию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функций («двойное произведение» в покое, время восстановления ЧСС после физической нагрузки) и расширение их резерва (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жизенный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и силовой индексы). Кроме того, учит</w:t>
      </w:r>
      <w:r>
        <w:rPr>
          <w:rFonts w:ascii="Times New Roman" w:hAnsi="Times New Roman" w:cs="Times New Roman"/>
          <w:sz w:val="28"/>
          <w:szCs w:val="28"/>
        </w:rPr>
        <w:t xml:space="preserve">ывается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весо</w:t>
      </w:r>
      <w:proofErr w:type="spellEnd"/>
      <w:r>
        <w:rPr>
          <w:rFonts w:ascii="Times New Roman" w:hAnsi="Times New Roman" w:cs="Times New Roman"/>
          <w:sz w:val="28"/>
          <w:szCs w:val="28"/>
        </w:rPr>
        <w:t>-ростовой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индекс.</w:t>
      </w:r>
    </w:p>
    <w:p w:rsidR="00D62158" w:rsidRDefault="00147134" w:rsidP="00D62158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 xml:space="preserve">При определении информативной ценности наиболее распространенных методов количественной оценки индивидуального здоровья -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Р.М.Баевского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Л.Х.Гаркави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соавт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К.Купера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И.А.Гундарова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и д</w:t>
      </w:r>
      <w:r w:rsidR="00D62158">
        <w:rPr>
          <w:rFonts w:ascii="Times New Roman" w:hAnsi="Times New Roman" w:cs="Times New Roman"/>
          <w:sz w:val="28"/>
          <w:szCs w:val="28"/>
        </w:rPr>
        <w:t xml:space="preserve">р., </w:t>
      </w:r>
      <w:proofErr w:type="spellStart"/>
      <w:r w:rsidR="00D62158">
        <w:rPr>
          <w:rFonts w:ascii="Times New Roman" w:hAnsi="Times New Roman" w:cs="Times New Roman"/>
          <w:sz w:val="28"/>
          <w:szCs w:val="28"/>
        </w:rPr>
        <w:t>Г.Л.Апанасенко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было установлено, что наибольшей диагностической эффективностью</w:t>
      </w:r>
      <w:r>
        <w:rPr>
          <w:rFonts w:ascii="Times New Roman" w:hAnsi="Times New Roman" w:cs="Times New Roman"/>
          <w:sz w:val="28"/>
          <w:szCs w:val="28"/>
        </w:rPr>
        <w:t xml:space="preserve"> обладает именно этот подход</w:t>
      </w:r>
      <w:r w:rsidRPr="00147134">
        <w:rPr>
          <w:rFonts w:ascii="Times New Roman" w:hAnsi="Times New Roman" w:cs="Times New Roman"/>
          <w:sz w:val="28"/>
          <w:szCs w:val="28"/>
        </w:rPr>
        <w:t xml:space="preserve">. В наших исследованиях показано, что снижение уровня здоровья, знаменующее собой, по сути, развитие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митохондриальной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недостаточности, сопровождается формированием эндогенных факторов риска и латент</w:t>
      </w:r>
      <w:r>
        <w:rPr>
          <w:rFonts w:ascii="Times New Roman" w:hAnsi="Times New Roman" w:cs="Times New Roman"/>
          <w:sz w:val="28"/>
          <w:szCs w:val="28"/>
        </w:rPr>
        <w:t>ных форм ИБС.</w:t>
      </w:r>
    </w:p>
    <w:p w:rsidR="00D62158" w:rsidRDefault="00147134" w:rsidP="00D62158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>Возможность диагностики уровня здоровья позволила построи</w:t>
      </w:r>
      <w:r w:rsidR="00D62158">
        <w:rPr>
          <w:rFonts w:ascii="Times New Roman" w:hAnsi="Times New Roman" w:cs="Times New Roman"/>
          <w:sz w:val="28"/>
          <w:szCs w:val="28"/>
        </w:rPr>
        <w:t>ть единую шкалу здоровья</w:t>
      </w:r>
      <w:r w:rsidRPr="00147134">
        <w:rPr>
          <w:rFonts w:ascii="Times New Roman" w:hAnsi="Times New Roman" w:cs="Times New Roman"/>
          <w:sz w:val="28"/>
          <w:szCs w:val="28"/>
        </w:rPr>
        <w:t>. Такая шкала представляет собой систему координат; на одной оси которой – уровень здоровья, на другой – медико-социальные состояния, зависящие от этого уровня. При использовании шкалы здоровья появилась возможность диагностировать и «третье», или переходное между здоровьем и болезнью состояние. Основной признак предболезни - возможность саморазвития патологического процесса без изменения силы действующего фактора вследстви</w:t>
      </w:r>
      <w:r w:rsidR="00D62158">
        <w:rPr>
          <w:rFonts w:ascii="Times New Roman" w:hAnsi="Times New Roman" w:cs="Times New Roman"/>
          <w:sz w:val="28"/>
          <w:szCs w:val="28"/>
        </w:rPr>
        <w:t>е снижения резервов здоровья</w:t>
      </w:r>
      <w:r w:rsidRPr="00147134">
        <w:rPr>
          <w:rFonts w:ascii="Times New Roman" w:hAnsi="Times New Roman" w:cs="Times New Roman"/>
          <w:sz w:val="28"/>
          <w:szCs w:val="28"/>
        </w:rPr>
        <w:t xml:space="preserve">. Границей перехода от состояния здоровья к состоянию предболезни является тот уровень здоровья, который не может компенсировать происходящие в организме под влиянием негативных факторов изменения и, вследствие этого, формируется тенденция к саморазвитию процесса. В качестве начала болезни принято считать появление признаков манифестации патологии, т.е. момент наступления снижения или утраты способности к выполнению функций. Таким образом, границы "третьего состояния" очерчены довольно четко. Что же касается возможности определить границу между предболезнью и началом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неманифестированного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патологического процесса, то на сегодняшний день эта проблема неразрешимая. Именно здесь могла бы сыграть ведущую роль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нормология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(учение о норме), однако показатели "нормы" настолько индивидуальны, что вынести суждение о "нормальности" функций у к</w:t>
      </w:r>
      <w:r w:rsidR="00D62158">
        <w:rPr>
          <w:rFonts w:ascii="Times New Roman" w:hAnsi="Times New Roman" w:cs="Times New Roman"/>
          <w:sz w:val="28"/>
          <w:szCs w:val="28"/>
        </w:rPr>
        <w:t>онкретного индивида невозможно.</w:t>
      </w:r>
    </w:p>
    <w:p w:rsidR="00147134" w:rsidRPr="00147134" w:rsidRDefault="00147134" w:rsidP="00D62158">
      <w:pPr>
        <w:tabs>
          <w:tab w:val="left" w:pos="6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34">
        <w:rPr>
          <w:rFonts w:ascii="Times New Roman" w:hAnsi="Times New Roman" w:cs="Times New Roman"/>
          <w:sz w:val="28"/>
          <w:szCs w:val="28"/>
        </w:rPr>
        <w:t xml:space="preserve">Именно поэтому в практической деятельности следует использовать </w:t>
      </w:r>
      <w:r w:rsidRPr="00147134">
        <w:rPr>
          <w:rFonts w:ascii="Times New Roman" w:hAnsi="Times New Roman" w:cs="Times New Roman"/>
          <w:sz w:val="28"/>
          <w:szCs w:val="28"/>
        </w:rPr>
        <w:lastRenderedPageBreak/>
        <w:t xml:space="preserve">категорию "третьего состояния" и только в том случае, если есть возможность подтвердить или отвергнуть наличие </w:t>
      </w:r>
      <w:proofErr w:type="spellStart"/>
      <w:r w:rsidRPr="00147134">
        <w:rPr>
          <w:rFonts w:ascii="Times New Roman" w:hAnsi="Times New Roman" w:cs="Times New Roman"/>
          <w:sz w:val="28"/>
          <w:szCs w:val="28"/>
        </w:rPr>
        <w:t>неманифестированного</w:t>
      </w:r>
      <w:proofErr w:type="spellEnd"/>
      <w:r w:rsidRPr="00147134">
        <w:rPr>
          <w:rFonts w:ascii="Times New Roman" w:hAnsi="Times New Roman" w:cs="Times New Roman"/>
          <w:sz w:val="28"/>
          <w:szCs w:val="28"/>
        </w:rPr>
        <w:t xml:space="preserve"> патологического процесса, можно говорить о предболезни или с</w:t>
      </w:r>
      <w:r w:rsidR="00D62158">
        <w:rPr>
          <w:rFonts w:ascii="Times New Roman" w:hAnsi="Times New Roman" w:cs="Times New Roman"/>
          <w:sz w:val="28"/>
          <w:szCs w:val="28"/>
        </w:rPr>
        <w:t>ледующей за ней стадии развития</w:t>
      </w:r>
      <w:r w:rsidRPr="00147134">
        <w:rPr>
          <w:rFonts w:ascii="Times New Roman" w:hAnsi="Times New Roman" w:cs="Times New Roman"/>
          <w:sz w:val="28"/>
          <w:szCs w:val="28"/>
        </w:rPr>
        <w:t>.</w:t>
      </w:r>
    </w:p>
    <w:p w:rsidR="00147134" w:rsidRDefault="00147134" w:rsidP="00147134">
      <w:pPr>
        <w:tabs>
          <w:tab w:val="left" w:pos="6315"/>
        </w:tabs>
        <w:jc w:val="both"/>
      </w:pPr>
    </w:p>
    <w:sectPr w:rsidR="00147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907"/>
    <w:rsid w:val="00147134"/>
    <w:rsid w:val="00460DD1"/>
    <w:rsid w:val="00810EB6"/>
    <w:rsid w:val="00AF2907"/>
    <w:rsid w:val="00D6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8093"/>
  <w15:chartTrackingRefBased/>
  <w15:docId w15:val="{13FB814F-976B-4628-A086-32F27E25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8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2020-11-04T08:07:00Z</dcterms:created>
  <dcterms:modified xsi:type="dcterms:W3CDTF">2020-11-04T12:41:00Z</dcterms:modified>
</cp:coreProperties>
</file>